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DEE52" w14:textId="40917BF7" w:rsidR="006B60E4" w:rsidRPr="006B60E4" w:rsidRDefault="006B60E4" w:rsidP="006B60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B60E4">
        <w:rPr>
          <w:rFonts w:ascii="Times New Roman" w:hAnsi="Times New Roman" w:cs="Times New Roman"/>
          <w:b/>
          <w:bCs/>
          <w:sz w:val="28"/>
          <w:szCs w:val="28"/>
        </w:rPr>
        <w:t>Rábatöttös Község Önkormányzata Képviselő-testületének 1/2022. (II. 23.) önkormányzati rendelete</w:t>
      </w:r>
      <w:r w:rsidRPr="006B60E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6B60E4">
        <w:rPr>
          <w:rFonts w:ascii="Times New Roman" w:hAnsi="Times New Roman" w:cs="Times New Roman"/>
          <w:b/>
          <w:bCs/>
          <w:sz w:val="28"/>
          <w:szCs w:val="28"/>
        </w:rPr>
        <w:t>az önkormányzat 2022. évi költségvetéséről</w:t>
      </w:r>
    </w:p>
    <w:p w14:paraId="191C96DC" w14:textId="516EE859" w:rsidR="006B60E4" w:rsidRPr="006B60E4" w:rsidRDefault="006B60E4" w:rsidP="006B60E4">
      <w:pPr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 </w:t>
      </w:r>
    </w:p>
    <w:p w14:paraId="78D42BF1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Rábatöttös Község Önkormányzatának képviselő-testülete </w:t>
      </w:r>
      <w:hyperlink r:id="rId4" w:anchor="CA32@BE2" w:tgtFrame="_blank" w:history="1">
        <w:r w:rsidRPr="006B60E4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az Alaptörvény 32. cikk (2) bekezdés</w:t>
        </w:r>
      </w:hyperlink>
      <w:r w:rsidRPr="006B60E4">
        <w:rPr>
          <w:rFonts w:ascii="Times New Roman" w:hAnsi="Times New Roman" w:cs="Times New Roman"/>
          <w:sz w:val="24"/>
          <w:szCs w:val="24"/>
        </w:rPr>
        <w:t>ében meghatározott eredeti jogalkotói hatáskörében, a </w:t>
      </w:r>
      <w:hyperlink r:id="rId5" w:anchor="SZ9." w:history="1">
        <w:r w:rsidRPr="006B60E4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9. §</w:t>
        </w:r>
      </w:hyperlink>
      <w:r w:rsidRPr="006B60E4">
        <w:rPr>
          <w:rFonts w:ascii="Times New Roman" w:hAnsi="Times New Roman" w:cs="Times New Roman"/>
          <w:sz w:val="24"/>
          <w:szCs w:val="24"/>
        </w:rPr>
        <w:t> vonatkozásában a Magyarország 2022. évi központi költségvetéséről szóló </w:t>
      </w:r>
      <w:hyperlink r:id="rId6" w:anchor="SZ75@BE3@POB" w:tgtFrame="_blank" w:history="1">
        <w:r w:rsidRPr="006B60E4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2021. évi XC. törvény 75. § (3) bekezdés b) pont</w:t>
        </w:r>
      </w:hyperlink>
      <w:r w:rsidRPr="006B60E4">
        <w:rPr>
          <w:rFonts w:ascii="Times New Roman" w:hAnsi="Times New Roman" w:cs="Times New Roman"/>
          <w:sz w:val="24"/>
          <w:szCs w:val="24"/>
        </w:rPr>
        <w:t>jában kapott felhatalmazás alapján, </w:t>
      </w:r>
      <w:hyperlink r:id="rId7" w:anchor="CA32@BE1@POF" w:tgtFrame="_blank" w:history="1">
        <w:r w:rsidRPr="006B60E4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az Alaptörvény 32. cikk (1) bekezdés f) pont</w:t>
        </w:r>
      </w:hyperlink>
      <w:r w:rsidRPr="006B60E4">
        <w:rPr>
          <w:rFonts w:ascii="Times New Roman" w:hAnsi="Times New Roman" w:cs="Times New Roman"/>
          <w:sz w:val="24"/>
          <w:szCs w:val="24"/>
        </w:rPr>
        <w:t>jában meghatározott feladatkörében eljárva a következőket rendeli el:</w:t>
      </w:r>
    </w:p>
    <w:p w14:paraId="5A711F8B" w14:textId="77777777" w:rsidR="006B60E4" w:rsidRDefault="006B60E4" w:rsidP="006B60E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A6BB53" w14:textId="2645AFAC" w:rsidR="006B60E4" w:rsidRPr="006B60E4" w:rsidRDefault="006B60E4" w:rsidP="006B60E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60E4">
        <w:rPr>
          <w:rFonts w:ascii="Times New Roman" w:hAnsi="Times New Roman" w:cs="Times New Roman"/>
          <w:b/>
          <w:bCs/>
          <w:sz w:val="24"/>
          <w:szCs w:val="24"/>
        </w:rPr>
        <w:t>1. Általános rendelkezések</w:t>
      </w:r>
    </w:p>
    <w:p w14:paraId="5D6D6C3E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b/>
          <w:bCs/>
          <w:sz w:val="24"/>
          <w:szCs w:val="24"/>
        </w:rPr>
        <w:t>1. §</w:t>
      </w:r>
      <w:r w:rsidRPr="006B60E4">
        <w:rPr>
          <w:rFonts w:ascii="Times New Roman" w:hAnsi="Times New Roman" w:cs="Times New Roman"/>
          <w:sz w:val="24"/>
          <w:szCs w:val="24"/>
        </w:rPr>
        <w:t> (1) A rendelet hatálya kiterjed az önkormányzatra, mint önállóan működő és gazdálkodó szervre.</w:t>
      </w:r>
    </w:p>
    <w:p w14:paraId="49DE6190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(2) A rendelet meghatározza az önkormányzat kötelező és önként vállalt feladatainak ellátásához szükséges bevételeket, valamint kiadásokat.</w:t>
      </w:r>
    </w:p>
    <w:p w14:paraId="02CDA528" w14:textId="77777777" w:rsidR="006B60E4" w:rsidRDefault="006B60E4" w:rsidP="006B60E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519F63" w14:textId="0BE24715" w:rsidR="006B60E4" w:rsidRPr="006B60E4" w:rsidRDefault="006B60E4" w:rsidP="006B60E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60E4">
        <w:rPr>
          <w:rFonts w:ascii="Times New Roman" w:hAnsi="Times New Roman" w:cs="Times New Roman"/>
          <w:b/>
          <w:bCs/>
          <w:sz w:val="24"/>
          <w:szCs w:val="24"/>
        </w:rPr>
        <w:t>2. Az önkormányzati költségvetés bevételei és kiadásai</w:t>
      </w:r>
    </w:p>
    <w:p w14:paraId="1D5C7D25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b/>
          <w:bCs/>
          <w:sz w:val="24"/>
          <w:szCs w:val="24"/>
        </w:rPr>
        <w:t>2. §</w:t>
      </w:r>
      <w:r w:rsidRPr="006B60E4">
        <w:rPr>
          <w:rFonts w:ascii="Times New Roman" w:hAnsi="Times New Roman" w:cs="Times New Roman"/>
          <w:sz w:val="24"/>
          <w:szCs w:val="24"/>
        </w:rPr>
        <w:t> (1) A Képviselő-testület az Önkormányzat 2022. évi költségvetésének bevételi és kiadási főösszegét </w:t>
      </w:r>
      <w:r w:rsidRPr="006B60E4">
        <w:rPr>
          <w:rFonts w:ascii="Times New Roman" w:hAnsi="Times New Roman" w:cs="Times New Roman"/>
          <w:b/>
          <w:bCs/>
          <w:sz w:val="24"/>
          <w:szCs w:val="24"/>
        </w:rPr>
        <w:t>75.687.623 Ft-ban</w:t>
      </w:r>
      <w:r w:rsidRPr="006B60E4">
        <w:rPr>
          <w:rFonts w:ascii="Times New Roman" w:hAnsi="Times New Roman" w:cs="Times New Roman"/>
          <w:sz w:val="24"/>
          <w:szCs w:val="24"/>
        </w:rPr>
        <w:t>, azaz Hetvenötmillió-hatszáznyolcvanhétezer-hatszázhuszonhárom Ft-ban forintban állapítja meg.</w:t>
      </w:r>
    </w:p>
    <w:p w14:paraId="0039C8BD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(2) A Képviselő-testület a költségvetés működési bevételi főösszegét 28.829.753 Ft-ban, működési kiadási főösszegét 35.835.887 Ft-ban, a felhalmozási kiadási főösszegét 39.035.165 Ft-ban, a felhalmozási bevételi főösszegét 0 Ft-ban állapítja meg.</w:t>
      </w:r>
    </w:p>
    <w:p w14:paraId="43D6BB66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(3) A finanszírozási bevételek összegét 46.857.870 Ft-ban állapítja meg, amely maradványból ered. A maradvány működési és felhalmozási célt szolgál. A finanszírozási kiadások összegét 816.571 Ft-ban állapítja meg, amely állami előleg visszafizetése.</w:t>
      </w:r>
    </w:p>
    <w:p w14:paraId="1FE00F80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(4) A képviselőtestület az évközi többletigények, valamint az elmaradt bevételek pótlására szolgáló tartalék összegét 3.119.637 Ft-ban állapítja meg (</w:t>
      </w:r>
      <w:hyperlink r:id="rId8" w:anchor="ME5" w:history="1">
        <w:r w:rsidRPr="006B60E4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5. melléklet</w:t>
        </w:r>
      </w:hyperlink>
      <w:r w:rsidRPr="006B60E4">
        <w:rPr>
          <w:rFonts w:ascii="Times New Roman" w:hAnsi="Times New Roman" w:cs="Times New Roman"/>
          <w:sz w:val="24"/>
          <w:szCs w:val="24"/>
        </w:rPr>
        <w:t>).</w:t>
      </w:r>
    </w:p>
    <w:p w14:paraId="71BF6263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b/>
          <w:bCs/>
          <w:sz w:val="24"/>
          <w:szCs w:val="24"/>
        </w:rPr>
        <w:t>3. §</w:t>
      </w:r>
      <w:r w:rsidRPr="006B60E4">
        <w:rPr>
          <w:rFonts w:ascii="Times New Roman" w:hAnsi="Times New Roman" w:cs="Times New Roman"/>
          <w:sz w:val="24"/>
          <w:szCs w:val="24"/>
        </w:rPr>
        <w:t> (1) A 2.§ (1)-(3) bekezdésében megállapított bevételi és kiadási főösszegek előirányzat-</w:t>
      </w:r>
      <w:proofErr w:type="spellStart"/>
      <w:r w:rsidRPr="006B60E4">
        <w:rPr>
          <w:rFonts w:ascii="Times New Roman" w:hAnsi="Times New Roman" w:cs="Times New Roman"/>
          <w:sz w:val="24"/>
          <w:szCs w:val="24"/>
        </w:rPr>
        <w:t>csoportonkénti</w:t>
      </w:r>
      <w:proofErr w:type="spellEnd"/>
      <w:r w:rsidRPr="006B60E4">
        <w:rPr>
          <w:rFonts w:ascii="Times New Roman" w:hAnsi="Times New Roman" w:cs="Times New Roman"/>
          <w:sz w:val="24"/>
          <w:szCs w:val="24"/>
        </w:rPr>
        <w:t>, kiemelt előirányzatok szerinti, valamint kötelező, önként vállalt és államigazgatási feladatok szerinti részletezését e rendelet </w:t>
      </w:r>
      <w:hyperlink r:id="rId9" w:anchor="ME1" w:history="1">
        <w:r w:rsidRPr="006B60E4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1. melléklet</w:t>
        </w:r>
      </w:hyperlink>
      <w:r w:rsidRPr="006B60E4">
        <w:rPr>
          <w:rFonts w:ascii="Times New Roman" w:hAnsi="Times New Roman" w:cs="Times New Roman"/>
          <w:sz w:val="24"/>
          <w:szCs w:val="24"/>
        </w:rPr>
        <w:t>e tartalmazza.</w:t>
      </w:r>
    </w:p>
    <w:p w14:paraId="562E5558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(2) A képviselőtestület az önkormányzat 2022. évi engedélyezett létszám előirányzatát 7 fő átlagos statisztikai állományi létszámban állapítja meg a </w:t>
      </w:r>
      <w:hyperlink r:id="rId10" w:anchor="ME2" w:history="1">
        <w:r w:rsidRPr="006B60E4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2. melléklet</w:t>
        </w:r>
      </w:hyperlink>
      <w:r w:rsidRPr="006B60E4">
        <w:rPr>
          <w:rFonts w:ascii="Times New Roman" w:hAnsi="Times New Roman" w:cs="Times New Roman"/>
          <w:sz w:val="24"/>
          <w:szCs w:val="24"/>
        </w:rPr>
        <w:t> szerint.</w:t>
      </w:r>
    </w:p>
    <w:p w14:paraId="4A8CE1AB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b/>
          <w:bCs/>
          <w:sz w:val="24"/>
          <w:szCs w:val="24"/>
        </w:rPr>
        <w:t>4. §</w:t>
      </w:r>
      <w:r w:rsidRPr="006B60E4">
        <w:rPr>
          <w:rFonts w:ascii="Times New Roman" w:hAnsi="Times New Roman" w:cs="Times New Roman"/>
          <w:sz w:val="24"/>
          <w:szCs w:val="24"/>
        </w:rPr>
        <w:t> (1) A képviselőtestület az önkormányzat működési költségvetési egyenlegét 0,- Ft-ban, a felhalmozási költségvetési egyenlegét 0,- Ft-ban állapítja meg, melyet részletesen e rendelet </w:t>
      </w:r>
      <w:hyperlink r:id="rId11" w:anchor="ME3" w:history="1">
        <w:r w:rsidRPr="006B60E4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3. melléklet</w:t>
        </w:r>
      </w:hyperlink>
      <w:r w:rsidRPr="006B60E4">
        <w:rPr>
          <w:rFonts w:ascii="Times New Roman" w:hAnsi="Times New Roman" w:cs="Times New Roman"/>
          <w:sz w:val="24"/>
          <w:szCs w:val="24"/>
        </w:rPr>
        <w:t>e tartalmaz.</w:t>
      </w:r>
    </w:p>
    <w:p w14:paraId="19BA28A7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(2) A képviselőtestület a Stabilitási törvény </w:t>
      </w:r>
      <w:hyperlink r:id="rId12" w:anchor="SZ3.@BE(1)" w:history="1">
        <w:r w:rsidRPr="006B60E4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3. § (1) bekezdés</w:t>
        </w:r>
      </w:hyperlink>
      <w:r w:rsidRPr="006B60E4">
        <w:rPr>
          <w:rFonts w:ascii="Times New Roman" w:hAnsi="Times New Roman" w:cs="Times New Roman"/>
          <w:sz w:val="24"/>
          <w:szCs w:val="24"/>
        </w:rPr>
        <w:t>e szerinti adósságot keletkeztető ügyletekből és kezességvállalásokból fennálló kötelezettséget nem állapít meg, saját bevételeit e rendelet </w:t>
      </w:r>
      <w:hyperlink r:id="rId13" w:anchor="ME4" w:history="1">
        <w:r w:rsidRPr="006B60E4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4. melléklet</w:t>
        </w:r>
      </w:hyperlink>
      <w:r w:rsidRPr="006B60E4">
        <w:rPr>
          <w:rFonts w:ascii="Times New Roman" w:hAnsi="Times New Roman" w:cs="Times New Roman"/>
          <w:sz w:val="24"/>
          <w:szCs w:val="24"/>
        </w:rPr>
        <w:t>e tartalmazza.</w:t>
      </w:r>
    </w:p>
    <w:p w14:paraId="15B645BE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lastRenderedPageBreak/>
        <w:t>(3) Az önkormányzatnak EU-s forrásból finanszírozott támogatással megvalósuló beruházása nincsen.</w:t>
      </w:r>
    </w:p>
    <w:p w14:paraId="6A52F733" w14:textId="77777777" w:rsidR="006B60E4" w:rsidRDefault="006B60E4" w:rsidP="006B60E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9E50E9" w14:textId="232555A2" w:rsidR="006B60E4" w:rsidRPr="006B60E4" w:rsidRDefault="006B60E4" w:rsidP="006B60E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60E4">
        <w:rPr>
          <w:rFonts w:ascii="Times New Roman" w:hAnsi="Times New Roman" w:cs="Times New Roman"/>
          <w:b/>
          <w:bCs/>
          <w:sz w:val="24"/>
          <w:szCs w:val="24"/>
        </w:rPr>
        <w:t>3. A forráshiány finanszírozásának kezelése</w:t>
      </w:r>
    </w:p>
    <w:p w14:paraId="3092A7AD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b/>
          <w:bCs/>
          <w:sz w:val="24"/>
          <w:szCs w:val="24"/>
        </w:rPr>
        <w:t>5. §</w:t>
      </w:r>
      <w:r w:rsidRPr="006B60E4">
        <w:rPr>
          <w:rFonts w:ascii="Times New Roman" w:hAnsi="Times New Roman" w:cs="Times New Roman"/>
          <w:sz w:val="24"/>
          <w:szCs w:val="24"/>
        </w:rPr>
        <w:t> (1) Forráshiány esetén a képviselőtestület a költségvetés egyensúlyának megteremtéséről a működési jellegű forráshiány fedezetéről a számlavezető pénzintézet útján éven belüli likvid hitel felvételével gondoskodik.</w:t>
      </w:r>
    </w:p>
    <w:p w14:paraId="0537780F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(2) A likvid hitel felvételéről való döntés a képviselőtestület kizárólagos jogkörébe tartozik. A hitelszerződés aláírására a képviselőtestület felhatalmazása alapján a polgármester az jegyző jogi ellenjegyzése mellett jogosult.</w:t>
      </w:r>
    </w:p>
    <w:p w14:paraId="3C05939E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(3) A költségvetési hiány külső finanszírozására vagy a költségvetési többlet felhasználására szolgáló finanszírozási bevételek és kiadások működési és felhalmozási cél szerinti tagolásban történő kimutatását a </w:t>
      </w:r>
      <w:hyperlink r:id="rId14" w:anchor="ME6" w:history="1">
        <w:r w:rsidRPr="006B60E4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6. melléklet</w:t>
        </w:r>
      </w:hyperlink>
      <w:r w:rsidRPr="006B60E4">
        <w:rPr>
          <w:rFonts w:ascii="Times New Roman" w:hAnsi="Times New Roman" w:cs="Times New Roman"/>
          <w:sz w:val="24"/>
          <w:szCs w:val="24"/>
        </w:rPr>
        <w:t> tartalmazza.</w:t>
      </w:r>
    </w:p>
    <w:p w14:paraId="3EA38B57" w14:textId="77777777" w:rsidR="006B60E4" w:rsidRDefault="006B60E4" w:rsidP="006B60E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FCE8C5" w14:textId="23CB05A0" w:rsidR="006B60E4" w:rsidRPr="006B60E4" w:rsidRDefault="006B60E4" w:rsidP="006B60E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60E4">
        <w:rPr>
          <w:rFonts w:ascii="Times New Roman" w:hAnsi="Times New Roman" w:cs="Times New Roman"/>
          <w:b/>
          <w:bCs/>
          <w:sz w:val="24"/>
          <w:szCs w:val="24"/>
        </w:rPr>
        <w:t>4. Az önkormányzati költségvetés végrehajtásával kapcsolatos rendelkezések</w:t>
      </w:r>
    </w:p>
    <w:p w14:paraId="4D7A9546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b/>
          <w:bCs/>
          <w:sz w:val="24"/>
          <w:szCs w:val="24"/>
        </w:rPr>
        <w:t>6. §</w:t>
      </w:r>
      <w:r w:rsidRPr="006B60E4">
        <w:rPr>
          <w:rFonts w:ascii="Times New Roman" w:hAnsi="Times New Roman" w:cs="Times New Roman"/>
          <w:sz w:val="24"/>
          <w:szCs w:val="24"/>
        </w:rPr>
        <w:t> (1) A képviselőtestület felhatalmazza a polgármestert, hogy e rendelet keretein belül a 2022. évi költségvetésben az önkormányzatot megillető bevételek beszedéséről gondoskodjon, valamint tegyen intézkedéseket a jóváhagyott kiadási előirányzatok célirányos felhasználására.</w:t>
      </w:r>
    </w:p>
    <w:p w14:paraId="72BD71BF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(2) A képviselőtestület felhatalmazza a polgármestert, hogy az önkormányzat költségvetési elszámolási számláján az átmenetileg szabad pénzeszközök betétként történő elhelyezésére, rövidlejáratú értékpapír vásárlására. A lekötést csak úgy lehet eszközölni, hogy a folyamatos pénzellátást ne zavarja. A lekötésről a polgármester a soron következő ülésen tájékoztatja a Képviselő-testületet.</w:t>
      </w:r>
    </w:p>
    <w:p w14:paraId="68C1ABFD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(3) A képviselőtestület – a költségvetés soron következő módosításakor történő tájékoztatási kötelezettség mellett – felhatalmazza a polgármestert:</w:t>
      </w:r>
    </w:p>
    <w:p w14:paraId="68EFEFA2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a) 500.000 Ft összeghatárig saját hatáskörben történő intézkedésre;</w:t>
      </w:r>
    </w:p>
    <w:p w14:paraId="57C91B2D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b) 1.000.000 Ft összeghatárig a kiadási előirányzatok közötti átcsoportosításra;</w:t>
      </w:r>
    </w:p>
    <w:p w14:paraId="59247AD1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c) A bevételi előirányzatok között összeghatár megkötöttsége nélkül történő átcsoportosításra.</w:t>
      </w:r>
    </w:p>
    <w:p w14:paraId="67888C39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(4) Az Önkormányzat gazdálkodásának lebonyolítását a Vasszécsenyi Közös Önkormányzati Hivatal végzi. Ennek keretében gondoskodik a bevételek beszedéséről, a kifizetések teljesítéséről, a szükséges pénzügyi nyilvántartások vezetéséről, a könyvelési munka elvégzéséről, a számlák kifizetés előtti átvizsgálásáról, a szükséges jelentések, adatszolgáltatások elvégzéséről, a belső ellenőrzések folyamatos végzéséről.</w:t>
      </w:r>
    </w:p>
    <w:p w14:paraId="7C7860E9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 xml:space="preserve">(5) A képviselőtestület az önkormányzat által foglalkoztatottak részére béren kívüli juttatásként nettó 100.000 Ft/fő összegű </w:t>
      </w:r>
      <w:proofErr w:type="spellStart"/>
      <w:r w:rsidRPr="006B60E4">
        <w:rPr>
          <w:rFonts w:ascii="Times New Roman" w:hAnsi="Times New Roman" w:cs="Times New Roman"/>
          <w:sz w:val="24"/>
          <w:szCs w:val="24"/>
        </w:rPr>
        <w:t>cafeteria</w:t>
      </w:r>
      <w:proofErr w:type="spellEnd"/>
      <w:r w:rsidRPr="006B60E4">
        <w:rPr>
          <w:rFonts w:ascii="Times New Roman" w:hAnsi="Times New Roman" w:cs="Times New Roman"/>
          <w:sz w:val="24"/>
          <w:szCs w:val="24"/>
        </w:rPr>
        <w:t xml:space="preserve"> keretet biztosít.</w:t>
      </w:r>
    </w:p>
    <w:p w14:paraId="312AD4AA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(6) A tartalékkal való rendelkezés joga a képviselőtestületet illeti meg.</w:t>
      </w:r>
    </w:p>
    <w:p w14:paraId="532D47B6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(7) A pénzmaradvány módosítása a képviselőtestület hatáskörébe tartozik.</w:t>
      </w:r>
    </w:p>
    <w:p w14:paraId="0B24F5AD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b/>
          <w:bCs/>
          <w:sz w:val="24"/>
          <w:szCs w:val="24"/>
        </w:rPr>
        <w:t>7. §</w:t>
      </w:r>
      <w:r w:rsidRPr="006B60E4">
        <w:rPr>
          <w:rFonts w:ascii="Times New Roman" w:hAnsi="Times New Roman" w:cs="Times New Roman"/>
          <w:sz w:val="24"/>
          <w:szCs w:val="24"/>
        </w:rPr>
        <w:t xml:space="preserve"> (1) Alapítványok, egyesületek és más egyéb civil szervezetek –kiírt pályázat, vagy a képviselő-testülethez címzett kérelmük alapján – az önkormányzat e célra elkülönített </w:t>
      </w:r>
      <w:r w:rsidRPr="006B60E4">
        <w:rPr>
          <w:rFonts w:ascii="Times New Roman" w:hAnsi="Times New Roman" w:cs="Times New Roman"/>
          <w:sz w:val="24"/>
          <w:szCs w:val="24"/>
        </w:rPr>
        <w:lastRenderedPageBreak/>
        <w:t>költségvetési előirányzatai terhére kizárólag a képviselő-testület döntése alapján írásbeli megállapodás szerint részesülnek önkormányzati támogatásban.</w:t>
      </w:r>
    </w:p>
    <w:p w14:paraId="23F1982F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(2) Kizárólag azok az egyesületek, civil szervezetek, alapítványok kaphatnak támogatást, akik a kapott támogatás felhasználását igazolják és annak ellenőrzését biztosítják. A támogatáshoz megállapodást kell készíteni. A 2022. évi támogatás feltétele, hogy a 2021. évben kapott összegről a támogatott egyesület, civil szervezet elszámolást készít a támogatási megállapodásban megjelölt határidőig.</w:t>
      </w:r>
    </w:p>
    <w:p w14:paraId="06680E9B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(3) A támogatott szervezet a támogatás összegével köteles elszámolni. A </w:t>
      </w:r>
      <w:hyperlink r:id="rId15" w:anchor="SZ7.@BE(2)" w:history="1">
        <w:r w:rsidRPr="006B60E4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(2) bekezdés</w:t>
        </w:r>
      </w:hyperlink>
      <w:r w:rsidRPr="006B60E4">
        <w:rPr>
          <w:rFonts w:ascii="Times New Roman" w:hAnsi="Times New Roman" w:cs="Times New Roman"/>
          <w:sz w:val="24"/>
          <w:szCs w:val="24"/>
        </w:rPr>
        <w:t>ben megjelölt megállapodásban meg kell határozni a támogatással való elszámolás feltételeit és módját, valamint ehhez kapcsolódóan a számadás nem teljesítése esetére visszafizetési kötelezettséget kell előírni. Amennyiben a finanszírozott vagy támogatott szervezet, az előírt számadási kötelezettségnek határidőre nem tesz eleget, és a támogatási szerződés alapján további támogatási összegre is jogosult lenne, támogatását fel kell függeszteni, és fel kell szólítani a már kifizetett támogatás visszafizetésére.</w:t>
      </w:r>
    </w:p>
    <w:p w14:paraId="61050761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(4) A támogatásról és az elszámolás feltételeiről szóló megállapodás aláírására a polgármester jogosult.</w:t>
      </w:r>
    </w:p>
    <w:p w14:paraId="18F9017D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b/>
          <w:bCs/>
          <w:sz w:val="24"/>
          <w:szCs w:val="24"/>
        </w:rPr>
        <w:t>8. §</w:t>
      </w:r>
      <w:r w:rsidRPr="006B60E4">
        <w:rPr>
          <w:rFonts w:ascii="Times New Roman" w:hAnsi="Times New Roman" w:cs="Times New Roman"/>
          <w:sz w:val="24"/>
          <w:szCs w:val="24"/>
        </w:rPr>
        <w:t> (1) Amennyiben a tulajdon védelme megfelelően biztosított és ellenőrzött, valamint az intézmény az eszközökről és az azok állományában bekövetkezett változásokról folyamatosan részletező nyilvántartást vezet mennyiségben és értékben, akkor a költségvetési évről, december 31-ei forduló-nappal készített könyvviteli mérlegben kimutatott eszközöket és forrásokat – ideértve az aktív és passzív pénzügyi elszámolásokat is – alátámasztó leltározást elegendő két évenként végrehajtani. Az ilyen módon leltározható eszközök köre a következő: ingatlanok, szellemi termékek, tárgyi eszközök, járművek, gépek-berendezések.</w:t>
      </w:r>
    </w:p>
    <w:p w14:paraId="23BAC572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(2) Kötelező a fordulónappal (a megszűnés napjával) a leltározást végrehajtani, amennyiben az intézmény átszervezés vagy jogutód nélküli megszűnés következtében megszűnik.</w:t>
      </w:r>
    </w:p>
    <w:p w14:paraId="4F356042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b/>
          <w:bCs/>
          <w:sz w:val="24"/>
          <w:szCs w:val="24"/>
        </w:rPr>
        <w:t>9. §</w:t>
      </w:r>
      <w:r w:rsidRPr="006B60E4">
        <w:rPr>
          <w:rFonts w:ascii="Times New Roman" w:hAnsi="Times New Roman" w:cs="Times New Roman"/>
          <w:sz w:val="24"/>
          <w:szCs w:val="24"/>
        </w:rPr>
        <w:t> A Vasszécsenyi Közös Önkormányzati Hivatalban foglalkoztatott közszolgálati tisztviselők illetményalapjának mértéke 2022. évben 54.000 Ft.</w:t>
      </w:r>
    </w:p>
    <w:p w14:paraId="4DBAA682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b/>
          <w:bCs/>
          <w:sz w:val="24"/>
          <w:szCs w:val="24"/>
        </w:rPr>
        <w:t>10. §</w:t>
      </w:r>
      <w:r w:rsidRPr="006B60E4">
        <w:rPr>
          <w:rFonts w:ascii="Times New Roman" w:hAnsi="Times New Roman" w:cs="Times New Roman"/>
          <w:sz w:val="24"/>
          <w:szCs w:val="24"/>
        </w:rPr>
        <w:t> (1) A költségvetés e rendeletben meghatározottak szerinti végrehajtásáért, valamint a beszámolási kötelezettségek teljesítésért a polgármester a felelős.</w:t>
      </w:r>
    </w:p>
    <w:p w14:paraId="0C929D99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(2) Rábatöttös Község Önkormányzata elszámolási számláját az összes alszámláival együtt a Takarékbank Zrt. vezeti.</w:t>
      </w:r>
    </w:p>
    <w:p w14:paraId="2F4922DB" w14:textId="77777777" w:rsidR="006B60E4" w:rsidRDefault="006B60E4" w:rsidP="006B60E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FB4BE49" w14:textId="4397BD62" w:rsidR="006B60E4" w:rsidRPr="006B60E4" w:rsidRDefault="006B60E4" w:rsidP="006B60E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60E4">
        <w:rPr>
          <w:rFonts w:ascii="Times New Roman" w:hAnsi="Times New Roman" w:cs="Times New Roman"/>
          <w:b/>
          <w:bCs/>
          <w:sz w:val="24"/>
          <w:szCs w:val="24"/>
        </w:rPr>
        <w:t>5. Záró rendelkezések</w:t>
      </w:r>
    </w:p>
    <w:p w14:paraId="03F4F035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b/>
          <w:bCs/>
          <w:sz w:val="24"/>
          <w:szCs w:val="24"/>
        </w:rPr>
        <w:t>11. §</w:t>
      </w:r>
      <w:r w:rsidRPr="006B60E4">
        <w:rPr>
          <w:rFonts w:ascii="Times New Roman" w:hAnsi="Times New Roman" w:cs="Times New Roman"/>
          <w:sz w:val="24"/>
          <w:szCs w:val="24"/>
        </w:rPr>
        <w:t> (1) Ez a rendelet – a </w:t>
      </w:r>
      <w:hyperlink r:id="rId16" w:anchor="SZ11.@BE(2)" w:history="1">
        <w:r w:rsidRPr="006B60E4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(2) bekezdés</w:t>
        </w:r>
      </w:hyperlink>
      <w:r w:rsidRPr="006B60E4">
        <w:rPr>
          <w:rFonts w:ascii="Times New Roman" w:hAnsi="Times New Roman" w:cs="Times New Roman"/>
          <w:sz w:val="24"/>
          <w:szCs w:val="24"/>
        </w:rPr>
        <w:t>ben foglalt kivétellel – 2022. február 24-én lép hatályba.</w:t>
      </w:r>
    </w:p>
    <w:p w14:paraId="66AFD421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sz w:val="24"/>
          <w:szCs w:val="24"/>
        </w:rPr>
        <w:t>(2) A </w:t>
      </w:r>
      <w:hyperlink r:id="rId17" w:anchor="SZ9." w:history="1">
        <w:r w:rsidRPr="006B60E4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9. §</w:t>
        </w:r>
      </w:hyperlink>
      <w:r w:rsidRPr="006B60E4">
        <w:rPr>
          <w:rFonts w:ascii="Times New Roman" w:hAnsi="Times New Roman" w:cs="Times New Roman"/>
          <w:sz w:val="24"/>
          <w:szCs w:val="24"/>
        </w:rPr>
        <w:t> 2022. március 1-jén lép hatályba.</w:t>
      </w:r>
    </w:p>
    <w:p w14:paraId="0269DCA5" w14:textId="77777777" w:rsidR="006B60E4" w:rsidRPr="006B60E4" w:rsidRDefault="006B60E4" w:rsidP="006B60E4">
      <w:pPr>
        <w:jc w:val="both"/>
        <w:rPr>
          <w:rFonts w:ascii="Times New Roman" w:hAnsi="Times New Roman" w:cs="Times New Roman"/>
          <w:sz w:val="24"/>
          <w:szCs w:val="24"/>
        </w:rPr>
      </w:pPr>
      <w:r w:rsidRPr="006B60E4">
        <w:rPr>
          <w:rFonts w:ascii="Times New Roman" w:hAnsi="Times New Roman" w:cs="Times New Roman"/>
          <w:b/>
          <w:bCs/>
          <w:sz w:val="24"/>
          <w:szCs w:val="24"/>
        </w:rPr>
        <w:t>12. §</w:t>
      </w:r>
      <w:r w:rsidRPr="006B60E4">
        <w:rPr>
          <w:rFonts w:ascii="Times New Roman" w:hAnsi="Times New Roman" w:cs="Times New Roman"/>
          <w:sz w:val="24"/>
          <w:szCs w:val="24"/>
        </w:rPr>
        <w:t> A rendelet rendelkezéseit 2022. január 1. napjától kell alkalmazni.</w:t>
      </w:r>
    </w:p>
    <w:p w14:paraId="468E03C6" w14:textId="77777777" w:rsidR="009D7854" w:rsidRPr="006B60E4" w:rsidRDefault="009D7854" w:rsidP="006B60E4">
      <w:pPr>
        <w:jc w:val="both"/>
      </w:pPr>
    </w:p>
    <w:sectPr w:rsidR="009D7854" w:rsidRPr="006B60E4" w:rsidSect="006B60E4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0E4"/>
    <w:rsid w:val="006B60E4"/>
    <w:rsid w:val="009D7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2AB21"/>
  <w15:chartTrackingRefBased/>
  <w15:docId w15:val="{68F82819-F35E-41B4-BC85-D40B887A8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6B60E4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B60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0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8254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4526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6178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071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0288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5336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.njt.hu/onkormanyzati-rendelet/577965" TargetMode="External"/><Relationship Id="rId13" Type="http://schemas.openxmlformats.org/officeDocument/2006/relationships/hyperlink" Target="https://or.njt.hu/onkormanyzati-rendelet/577965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njt.hu/jogszabaly/2011-4301-02-00" TargetMode="External"/><Relationship Id="rId12" Type="http://schemas.openxmlformats.org/officeDocument/2006/relationships/hyperlink" Target="https://or.njt.hu/onkormanyzati-rendelet/577965" TargetMode="External"/><Relationship Id="rId17" Type="http://schemas.openxmlformats.org/officeDocument/2006/relationships/hyperlink" Target="https://or.njt.hu/onkormanyzati-rendelet/57796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or.njt.hu/onkormanyzati-rendelet/577965" TargetMode="External"/><Relationship Id="rId1" Type="http://schemas.openxmlformats.org/officeDocument/2006/relationships/styles" Target="styles.xml"/><Relationship Id="rId6" Type="http://schemas.openxmlformats.org/officeDocument/2006/relationships/hyperlink" Target="https://njt.hu/jogszabaly/2021-90-00-00" TargetMode="External"/><Relationship Id="rId11" Type="http://schemas.openxmlformats.org/officeDocument/2006/relationships/hyperlink" Target="https://or.njt.hu/onkormanyzati-rendelet/577965" TargetMode="External"/><Relationship Id="rId5" Type="http://schemas.openxmlformats.org/officeDocument/2006/relationships/hyperlink" Target="https://or.njt.hu/onkormanyzati-rendelet/577965" TargetMode="External"/><Relationship Id="rId15" Type="http://schemas.openxmlformats.org/officeDocument/2006/relationships/hyperlink" Target="https://or.njt.hu/onkormanyzati-rendelet/577965" TargetMode="External"/><Relationship Id="rId10" Type="http://schemas.openxmlformats.org/officeDocument/2006/relationships/hyperlink" Target="https://or.njt.hu/onkormanyzati-rendelet/577965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njt.hu/jogszabaly/2011-4301-02-00" TargetMode="External"/><Relationship Id="rId9" Type="http://schemas.openxmlformats.org/officeDocument/2006/relationships/hyperlink" Target="https://or.njt.hu/onkormanyzati-rendelet/577965" TargetMode="External"/><Relationship Id="rId14" Type="http://schemas.openxmlformats.org/officeDocument/2006/relationships/hyperlink" Target="https://or.njt.hu/onkormanyzati-rendelet/577965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1175</Words>
  <Characters>8113</Characters>
  <Application>Microsoft Office Word</Application>
  <DocSecurity>0</DocSecurity>
  <Lines>67</Lines>
  <Paragraphs>18</Paragraphs>
  <ScaleCrop>false</ScaleCrop>
  <Company/>
  <LinksUpToDate>false</LinksUpToDate>
  <CharactersWithSpaces>9270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2022-08-02T08:57:00Z</dcterms:created>
  <dcterms:modified xsi:type="dcterms:W3CDTF">2022-08-02T08:58:00Z</dcterms:modified>
</cp:coreProperties>
</file>